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</w:p>
    <w:p>
      <w:pPr>
        <w:pStyle w:val="Body A"/>
        <w:jc w:val="center"/>
      </w:pPr>
      <w:r>
        <w:rPr>
          <w:rStyle w:val="Ninguno"/>
          <w:sz w:val="30"/>
          <w:szCs w:val="3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3237533</wp:posOffset>
            </wp:positionH>
            <wp:positionV relativeFrom="page">
              <wp:posOffset>147874</wp:posOffset>
            </wp:positionV>
            <wp:extent cx="1068732" cy="108085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32" cy="10808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360" w:lineRule="auto"/>
        <w:jc w:val="right"/>
      </w:pPr>
    </w:p>
    <w:p>
      <w:pPr>
        <w:pStyle w:val="Body A"/>
        <w:spacing w:line="360" w:lineRule="auto"/>
        <w:jc w:val="right"/>
        <w:rPr>
          <w:rStyle w:val="Ninguno"/>
          <w:sz w:val="24"/>
          <w:szCs w:val="24"/>
        </w:rPr>
      </w:pPr>
      <w:r>
        <w:rPr>
          <w:rStyle w:val="Ninguno"/>
          <w:sz w:val="20"/>
          <w:szCs w:val="20"/>
          <w:rtl w:val="0"/>
          <w:lang w:val="pt-PT"/>
        </w:rPr>
        <w:t xml:space="preserve">Buenos Aires, </w:t>
      </w:r>
      <w:r>
        <w:rPr>
          <w:rStyle w:val="Ninguno"/>
          <w:sz w:val="20"/>
          <w:szCs w:val="20"/>
          <w:rtl w:val="0"/>
          <w:lang w:val="es-ES_tradnl"/>
        </w:rPr>
        <w:t>16 de abril de 2025</w:t>
      </w:r>
    </w:p>
    <w:p>
      <w:pPr>
        <w:pStyle w:val="Body A"/>
        <w:spacing w:line="360" w:lineRule="auto"/>
        <w:jc w:val="right"/>
        <w:rPr>
          <w:rStyle w:val="Ninguno"/>
          <w:sz w:val="20"/>
          <w:szCs w:val="20"/>
        </w:rPr>
      </w:pPr>
    </w:p>
    <w:p>
      <w:pPr>
        <w:pStyle w:val="Body A"/>
        <w:spacing w:line="288" w:lineRule="auto"/>
        <w:jc w:val="center"/>
        <w:rPr>
          <w:rStyle w:val="Ninguno"/>
          <w:sz w:val="44"/>
          <w:szCs w:val="44"/>
        </w:rPr>
      </w:pPr>
      <w:r>
        <w:rPr>
          <w:rStyle w:val="Ninguno"/>
          <w:b w:val="1"/>
          <w:bCs w:val="1"/>
          <w:sz w:val="44"/>
          <w:szCs w:val="44"/>
          <w:rtl w:val="0"/>
          <w:lang w:val="es-ES_tradnl"/>
        </w:rPr>
        <w:t>El consumo chacinados y carne de cerdo creci</w:t>
      </w:r>
      <w:r>
        <w:rPr>
          <w:rStyle w:val="Ninguno"/>
          <w:b w:val="1"/>
          <w:bCs w:val="1"/>
          <w:sz w:val="44"/>
          <w:szCs w:val="44"/>
          <w:rtl w:val="0"/>
          <w:lang w:val="es-ES_tradnl"/>
        </w:rPr>
        <w:t xml:space="preserve">ó </w:t>
      </w:r>
      <w:r>
        <w:rPr>
          <w:rStyle w:val="Ninguno"/>
          <w:b w:val="1"/>
          <w:bCs w:val="1"/>
          <w:sz w:val="44"/>
          <w:szCs w:val="44"/>
          <w:rtl w:val="0"/>
          <w:lang w:val="es-ES_tradnl"/>
        </w:rPr>
        <w:t>8,2% en el primer trimestre del a</w:t>
      </w:r>
      <w:r>
        <w:rPr>
          <w:rStyle w:val="Ninguno"/>
          <w:b w:val="1"/>
          <w:bCs w:val="1"/>
          <w:sz w:val="44"/>
          <w:szCs w:val="44"/>
          <w:rtl w:val="0"/>
          <w:lang w:val="es-ES_tradnl"/>
        </w:rPr>
        <w:t>ñ</w:t>
      </w:r>
      <w:r>
        <w:rPr>
          <w:rStyle w:val="Ninguno"/>
          <w:b w:val="1"/>
          <w:bCs w:val="1"/>
          <w:sz w:val="44"/>
          <w:szCs w:val="44"/>
          <w:rtl w:val="0"/>
          <w:lang w:val="es-ES_tradnl"/>
        </w:rPr>
        <w:t>o</w:t>
      </w:r>
    </w:p>
    <w:p>
      <w:pPr>
        <w:pStyle w:val="Body A"/>
        <w:spacing w:line="360" w:lineRule="auto"/>
        <w:jc w:val="both"/>
      </w:pPr>
    </w:p>
    <w:p>
      <w:pPr>
        <w:pStyle w:val="Body A"/>
        <w:spacing w:line="360" w:lineRule="auto"/>
        <w:jc w:val="both"/>
      </w:pPr>
      <w:r>
        <w:rPr>
          <w:rStyle w:val="Ninguno"/>
          <w:rtl w:val="0"/>
          <w:lang w:val="es-ES_tradnl"/>
        </w:rPr>
        <w:t>La C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mara Argentina de la Industria de Chacinados y Carne de Cerdo (CAICHA) ha publicado su informe de </w:t>
      </w:r>
      <w:r>
        <w:rPr>
          <w:rStyle w:val="Ninguno"/>
          <w:rtl w:val="0"/>
          <w:lang w:val="es-ES_tradnl"/>
        </w:rPr>
        <w:t>mercado</w:t>
      </w:r>
      <w:r>
        <w:rPr>
          <w:rStyle w:val="Ninguno"/>
          <w:rtl w:val="0"/>
          <w:lang w:val="es-ES_tradnl"/>
        </w:rPr>
        <w:t xml:space="preserve"> correspondiente al primer trimestre del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o 2025. </w:t>
      </w:r>
      <w:r>
        <w:rPr>
          <w:rStyle w:val="Ninguno"/>
          <w:b w:val="1"/>
          <w:bCs w:val="1"/>
          <w:rtl w:val="0"/>
          <w:lang w:val="es-ES_tradnl"/>
        </w:rPr>
        <w:t>Seg</w:t>
      </w:r>
      <w:r>
        <w:rPr>
          <w:rStyle w:val="Ninguno"/>
          <w:b w:val="1"/>
          <w:bCs w:val="1"/>
          <w:rtl w:val="0"/>
          <w:lang w:val="es-ES_tradnl"/>
        </w:rPr>
        <w:t>ú</w:t>
      </w:r>
      <w:r>
        <w:rPr>
          <w:rStyle w:val="Ninguno"/>
          <w:b w:val="1"/>
          <w:bCs w:val="1"/>
          <w:rtl w:val="0"/>
          <w:lang w:val="es-ES_tradnl"/>
        </w:rPr>
        <w:t xml:space="preserve">n el mismo, el 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ndice de Precios Porcino aument</w:t>
      </w:r>
      <w:r>
        <w:rPr>
          <w:rStyle w:val="Ninguno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b w:val="1"/>
          <w:bCs w:val="1"/>
          <w:rtl w:val="0"/>
          <w:lang w:val="es-ES_tradnl"/>
        </w:rPr>
        <w:t>un 9,2% en el per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odo, mientras que las ventas subieron un 8,2% versus el mismo trimestre del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 anterior. El consumo de cortes frescos aument</w:t>
      </w:r>
      <w:r>
        <w:rPr>
          <w:rStyle w:val="Ninguno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b w:val="1"/>
          <w:bCs w:val="1"/>
          <w:rtl w:val="0"/>
          <w:lang w:val="es-ES_tradnl"/>
        </w:rPr>
        <w:t xml:space="preserve">un 6% y el de chacinados un 10,5%. </w:t>
      </w:r>
      <w:r>
        <w:rPr>
          <w:rStyle w:val="Ninguno"/>
          <w:rtl w:val="0"/>
          <w:lang w:val="es-ES_tradnl"/>
        </w:rPr>
        <w:t>Febrero fue el mes de mayor crecimiento en la demanda. Parte de ese resultado responde al crecimiento que registra la econom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desde diciembre, pero tambi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n tuvo mucha incidencia la suba del 19,7% en el precio de la Carne Vacuna, que favoreci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 xml:space="preserve">a la Carne de Cerdo como sustituto inmediato. Por su parte </w:t>
      </w:r>
      <w:r>
        <w:rPr>
          <w:rStyle w:val="Ninguno"/>
          <w:b w:val="1"/>
          <w:bCs w:val="1"/>
          <w:rtl w:val="0"/>
          <w:lang w:val="es-ES_tradnl"/>
        </w:rPr>
        <w:t>las exportaciones cayeron un 30% versus el primer trimestre de 2024</w:t>
      </w:r>
      <w:r>
        <w:rPr>
          <w:rStyle w:val="Ninguno"/>
          <w:b w:val="1"/>
          <w:bCs w:val="1"/>
          <w:rtl w:val="0"/>
          <w:lang w:val="es-ES_tradnl"/>
        </w:rPr>
        <w:t>,</w:t>
      </w:r>
      <w:r>
        <w:rPr>
          <w:rStyle w:val="Ninguno"/>
          <w:b w:val="1"/>
          <w:bCs w:val="1"/>
          <w:rtl w:val="0"/>
          <w:lang w:val="es-ES_tradnl"/>
        </w:rPr>
        <w:t xml:space="preserve"> mientras que las </w:t>
      </w:r>
      <w:r>
        <w:rPr>
          <w:rStyle w:val="Ninguno"/>
          <w:b w:val="1"/>
          <w:bCs w:val="1"/>
          <w:rtl w:val="0"/>
          <w:lang w:val="es-ES_tradnl"/>
        </w:rPr>
        <w:t>importaciones</w:t>
      </w:r>
      <w:r>
        <w:rPr>
          <w:rStyle w:val="Ninguno"/>
          <w:b w:val="1"/>
          <w:bCs w:val="1"/>
          <w:rtl w:val="0"/>
          <w:lang w:val="es-ES_tradnl"/>
        </w:rPr>
        <w:t xml:space="preserve"> subieron </w:t>
      </w:r>
      <w:r>
        <w:rPr>
          <w:rStyle w:val="Ninguno"/>
          <w:b w:val="1"/>
          <w:bCs w:val="1"/>
          <w:rtl w:val="0"/>
          <w:lang w:val="es-ES_tradnl"/>
        </w:rPr>
        <w:t xml:space="preserve">un </w:t>
      </w:r>
      <w:r>
        <w:rPr>
          <w:rStyle w:val="Ninguno"/>
          <w:b w:val="1"/>
          <w:bCs w:val="1"/>
          <w:rtl w:val="0"/>
          <w:lang w:val="es-ES_tradnl"/>
        </w:rPr>
        <w:t>400%</w:t>
      </w:r>
      <w:r>
        <w:rPr>
          <w:rStyle w:val="Ninguno"/>
          <w:b w:val="1"/>
          <w:bCs w:val="1"/>
          <w:rtl w:val="0"/>
          <w:lang w:val="es-ES_tradnl"/>
        </w:rPr>
        <w:t xml:space="preserve">, volviendo a niveles </w:t>
      </w:r>
      <w:r>
        <w:rPr>
          <w:rStyle w:val="Ninguno"/>
          <w:b w:val="1"/>
          <w:bCs w:val="1"/>
          <w:rtl w:val="0"/>
          <w:lang w:val="es-ES_tradnl"/>
        </w:rPr>
        <w:t>similares a los de 2022</w:t>
      </w:r>
      <w:r>
        <w:rPr>
          <w:rStyle w:val="Ninguno"/>
          <w:rtl w:val="0"/>
          <w:lang w:val="es-ES_tradnl"/>
        </w:rPr>
        <w:t>.</w:t>
      </w:r>
    </w:p>
    <w:p>
      <w:pPr>
        <w:pStyle w:val="Body A"/>
        <w:spacing w:line="360" w:lineRule="auto"/>
        <w:jc w:val="both"/>
        <w:rPr>
          <w:rStyle w:val="Ninguno"/>
          <w:lang w:val="es-ES_tradnl"/>
        </w:rPr>
      </w:pPr>
    </w:p>
    <w:p>
      <w:pPr>
        <w:pStyle w:val="Body A"/>
        <w:spacing w:line="360" w:lineRule="auto"/>
        <w:jc w:val="both"/>
      </w:pPr>
      <w:r>
        <w:rPr>
          <w:rStyle w:val="Ninguno"/>
          <w:lang w:val="es-ES_tradnl"/>
        </w:rPr>
        <w:drawing xmlns:a="http://schemas.openxmlformats.org/drawingml/2006/main">
          <wp:inline distT="0" distB="0" distL="0" distR="0">
            <wp:extent cx="6641973" cy="2591747"/>
            <wp:effectExtent l="0" t="0" r="0" b="0"/>
            <wp:docPr id="1073741826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30629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641973" cy="25917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line="360" w:lineRule="auto"/>
        <w:jc w:val="both"/>
      </w:pPr>
    </w:p>
    <w:p>
      <w:pPr>
        <w:pStyle w:val="Body A"/>
        <w:spacing w:line="360" w:lineRule="auto"/>
        <w:jc w:val="both"/>
        <w:rPr>
          <w:rStyle w:val="Ninguno"/>
          <w:b w:val="1"/>
          <w:bCs w:val="1"/>
        </w:rPr>
      </w:pPr>
      <w:r>
        <w:rPr>
          <w:rStyle w:val="Ninguno"/>
          <w:rtl w:val="0"/>
          <w:lang w:val="es-ES_tradnl"/>
        </w:rPr>
        <w:t>Favorecido por la reactivaci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econom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y el menor consumo de carne vacuna, el sector de carne porcina y chacinados afirm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su crecimiento en el primer trimestre del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con un aumento de 8,2% frente al mismo periodo del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o pasado. </w:t>
      </w:r>
      <w:r>
        <w:rPr>
          <w:rStyle w:val="Ninguno"/>
          <w:b w:val="1"/>
          <w:bCs w:val="1"/>
          <w:rtl w:val="0"/>
          <w:lang w:val="es-ES_tradnl"/>
        </w:rPr>
        <w:t>El consumo subi</w:t>
      </w:r>
      <w:r>
        <w:rPr>
          <w:rStyle w:val="Ninguno"/>
          <w:b w:val="1"/>
          <w:bCs w:val="1"/>
          <w:rtl w:val="0"/>
        </w:rPr>
        <w:t xml:space="preserve">ó </w:t>
      </w:r>
      <w:r>
        <w:rPr>
          <w:rStyle w:val="Ninguno"/>
          <w:b w:val="1"/>
          <w:bCs w:val="1"/>
          <w:rtl w:val="0"/>
          <w:lang w:val="es-ES_tradnl"/>
        </w:rPr>
        <w:t>en cada uno de los 3 primeros meses del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 y cumpli</w:t>
      </w:r>
      <w:r>
        <w:rPr>
          <w:rStyle w:val="Ninguno"/>
          <w:b w:val="1"/>
          <w:bCs w:val="1"/>
          <w:rtl w:val="0"/>
        </w:rPr>
        <w:t xml:space="preserve">ó </w:t>
      </w:r>
      <w:r>
        <w:rPr>
          <w:rStyle w:val="Ninguno"/>
          <w:b w:val="1"/>
          <w:bCs w:val="1"/>
          <w:rtl w:val="0"/>
          <w:lang w:val="es-ES_tradnl"/>
        </w:rPr>
        <w:t>en marzo 6 meses consecutivos de alzas interanuales</w:t>
      </w:r>
      <w:r>
        <w:rPr>
          <w:rStyle w:val="Ninguno"/>
          <w:rtl w:val="0"/>
          <w:lang w:val="es-ES_tradnl"/>
        </w:rPr>
        <w:t>. En febrero logr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un pico de crecimiento de 11,6%. La ampliaci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brecha de precios entre carne vacuna y carne porcina tuvo alta incidencia en ese resultado. La recuperaci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en las ventas de Chacinados en lo que va de 2025 fue 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 xml:space="preserve">s fuerte </w:t>
      </w:r>
      <w:r>
        <w:rPr>
          <w:rStyle w:val="Ninguno"/>
          <w:rtl w:val="0"/>
          <w:lang w:val="it-IT"/>
        </w:rPr>
        <w:t xml:space="preserve">que la de Carne fresca. </w:t>
      </w:r>
      <w:r>
        <w:rPr>
          <w:rStyle w:val="Ninguno"/>
          <w:b w:val="1"/>
          <w:bCs w:val="1"/>
          <w:rtl w:val="0"/>
          <w:lang w:val="es-ES_tradnl"/>
        </w:rPr>
        <w:t>Al primer trimestre del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o, mientras las ventas de Carne fresca crecieron 6,0% frente a igual trimestre de 2024, la de Chacinados aument</w:t>
      </w:r>
      <w:r>
        <w:rPr>
          <w:rStyle w:val="Ninguno"/>
          <w:b w:val="1"/>
          <w:bCs w:val="1"/>
          <w:rtl w:val="0"/>
        </w:rPr>
        <w:t xml:space="preserve">ó </w:t>
      </w:r>
      <w:r>
        <w:rPr>
          <w:rStyle w:val="Ninguno"/>
          <w:b w:val="1"/>
          <w:bCs w:val="1"/>
          <w:rtl w:val="0"/>
        </w:rPr>
        <w:t>10,5%.</w:t>
      </w:r>
    </w:p>
    <w:p>
      <w:pPr>
        <w:pStyle w:val="Body A"/>
        <w:spacing w:line="360" w:lineRule="auto"/>
        <w:jc w:val="both"/>
        <w:rPr>
          <w:rStyle w:val="Ninguno"/>
          <w:b w:val="1"/>
          <w:bCs w:val="1"/>
        </w:rPr>
      </w:pPr>
    </w:p>
    <w:p>
      <w:pPr>
        <w:pStyle w:val="Body A"/>
        <w:spacing w:line="360" w:lineRule="auto"/>
        <w:jc w:val="both"/>
      </w:pPr>
      <w:r>
        <w:rPr>
          <w:rStyle w:val="Ninguno"/>
          <w:rFonts w:ascii="Times New Roman" w:cs="Times New Roman" w:hAnsi="Times New Roman" w:eastAsia="Times New Roman"/>
          <w:b w:val="1"/>
          <w:bCs w:val="1"/>
        </w:rPr>
        <w:drawing xmlns:a="http://schemas.openxmlformats.org/drawingml/2006/main">
          <wp:inline distT="0" distB="0" distL="0" distR="0">
            <wp:extent cx="6550296" cy="2407791"/>
            <wp:effectExtent l="0" t="0" r="0" b="0"/>
            <wp:docPr id="1073741827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34651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50296" cy="2407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line="360" w:lineRule="auto"/>
        <w:jc w:val="both"/>
      </w:pPr>
    </w:p>
    <w:p>
      <w:pPr>
        <w:pStyle w:val="Body A"/>
        <w:spacing w:line="360" w:lineRule="auto"/>
        <w:jc w:val="both"/>
      </w:pPr>
    </w:p>
    <w:p>
      <w:pPr>
        <w:pStyle w:val="Body A"/>
        <w:spacing w:line="360" w:lineRule="auto"/>
        <w:jc w:val="both"/>
      </w:pPr>
      <w:r>
        <w:rPr>
          <w:rStyle w:val="Ninguno"/>
        </w:rPr>
        <w:drawing xmlns:a="http://schemas.openxmlformats.org/drawingml/2006/main">
          <wp:inline distT="0" distB="0" distL="0" distR="0">
            <wp:extent cx="6464626" cy="2597557"/>
            <wp:effectExtent l="0" t="0" r="0" b="0"/>
            <wp:docPr id="1073741828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28567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64626" cy="2597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line="360" w:lineRule="auto"/>
        <w:jc w:val="both"/>
      </w:pPr>
    </w:p>
    <w:p>
      <w:pPr>
        <w:pStyle w:val="Body A"/>
        <w:spacing w:line="360" w:lineRule="auto"/>
        <w:jc w:val="both"/>
      </w:pPr>
      <w:r>
        <w:rPr>
          <w:rStyle w:val="Ninguno"/>
          <w:rtl w:val="0"/>
          <w:lang w:val="es-ES_tradnl"/>
        </w:rPr>
        <w:t>Menudencias de cerdo, que hab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sido la categor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con mayor suba anual de precio en 2024, lider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>los aumentos del primer trimestre 2025, con un alza de 12,2%. Le siguieron los Subproductos de cerdo como milanesas y hamburguesas (+9,4%) y Fiambres (9,0%). Lo que menos subi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>fue: Chacinados frescos (+8,4%) y Carne fresca (8,9%). Por producto, milanesa de cerdo encabeza los aumentos del trimestre (+15,2%), seguida por bife de cerdo (+13,6%), el lomo de cerdo (+13,4%), bondiola curada (12,6%) y salame mil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 (+12,3%). En el otro extremo, los productos con menor incremento de precios fueron panceta (0,2%), salchicha viena (+0,5%), chorizo (+1,5%) y costilla de cerdo (+1,9%).</w:t>
      </w:r>
    </w:p>
    <w:p>
      <w:pPr>
        <w:pStyle w:val="Body A"/>
        <w:spacing w:line="360" w:lineRule="auto"/>
        <w:jc w:val="both"/>
        <w:rPr>
          <w:rStyle w:val="Ninguno"/>
          <w:lang w:val="es-ES_tradnl"/>
        </w:rPr>
      </w:pPr>
    </w:p>
    <w:p>
      <w:pPr>
        <w:pStyle w:val="Body A"/>
        <w:spacing w:line="360" w:lineRule="auto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COMERCIO EXTERIOR</w:t>
      </w:r>
    </w:p>
    <w:p>
      <w:pPr>
        <w:pStyle w:val="Body A"/>
        <w:spacing w:line="360" w:lineRule="auto"/>
        <w:jc w:val="both"/>
        <w:rPr>
          <w:rStyle w:val="Ninguno"/>
          <w:b w:val="1"/>
          <w:bCs w:val="1"/>
          <w:lang w:val="es-ES_tradnl"/>
        </w:rPr>
      </w:pPr>
    </w:p>
    <w:p>
      <w:pPr>
        <w:pStyle w:val="Body A"/>
        <w:spacing w:line="360" w:lineRule="auto"/>
        <w:jc w:val="both"/>
      </w:pPr>
      <w:r>
        <w:rPr>
          <w:rStyle w:val="Ninguno"/>
          <w:b w:val="1"/>
          <w:bCs w:val="1"/>
          <w:rtl w:val="0"/>
          <w:lang w:val="es-ES_tradnl"/>
        </w:rPr>
        <w:t>Las exportaciones de la industria porcina, mayoritariamente subproductos de faena y menudencias, superaron en el primer trimestre las 2.400 toneladas, equivalentes a 1,6 millones de d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lares.</w:t>
      </w:r>
      <w:r>
        <w:rPr>
          <w:rStyle w:val="Ninguno"/>
          <w:rtl w:val="0"/>
          <w:lang w:val="es-ES_tradnl"/>
        </w:rPr>
        <w:t xml:space="preserve"> Los destinos fueron: China, Congo, Costa de Marfil, Hong Kong, Paraguay, Uruguay, Ghana, Angola y Rusia. </w:t>
      </w:r>
      <w:r>
        <w:rPr>
          <w:rStyle w:val="Ninguno"/>
          <w:b w:val="1"/>
          <w:bCs w:val="1"/>
          <w:rtl w:val="0"/>
          <w:lang w:val="es-ES_tradnl"/>
        </w:rPr>
        <w:t>Las ventas cayeron un 30% versus el mismo per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odo del 2024</w:t>
      </w:r>
      <w:r>
        <w:rPr>
          <w:rStyle w:val="Ninguno"/>
          <w:rtl w:val="0"/>
          <w:lang w:val="es-ES_tradnl"/>
        </w:rPr>
        <w:t xml:space="preserve">. </w:t>
      </w:r>
    </w:p>
    <w:p>
      <w:pPr>
        <w:pStyle w:val="Body A"/>
        <w:spacing w:line="360" w:lineRule="auto"/>
        <w:jc w:val="both"/>
        <w:rPr>
          <w:rStyle w:val="Ninguno"/>
          <w:lang w:val="es-ES_tradnl"/>
        </w:rPr>
      </w:pPr>
    </w:p>
    <w:p>
      <w:pPr>
        <w:pStyle w:val="Body A"/>
        <w:spacing w:line="360" w:lineRule="auto"/>
        <w:jc w:val="both"/>
      </w:pPr>
      <w:r>
        <w:rPr>
          <w:rStyle w:val="Ninguno"/>
          <w:b w:val="1"/>
          <w:bCs w:val="1"/>
          <w:rtl w:val="0"/>
          <w:lang w:val="es-ES_tradnl"/>
        </w:rPr>
        <w:t>Por su parte, en el primer trimestre las importaciones de cortes de carne alcanzaron las 14.100 toneladas, por un valor de U$D 39.</w:t>
      </w:r>
      <w:r>
        <w:rPr>
          <w:rStyle w:val="Ninguno"/>
          <w:b w:val="1"/>
          <w:bCs w:val="1"/>
          <w:rtl w:val="0"/>
          <w:lang w:val="es-ES_tradnl"/>
        </w:rPr>
        <w:t>6 millones,</w:t>
      </w:r>
      <w:r>
        <w:rPr>
          <w:rStyle w:val="Ninguno"/>
          <w:b w:val="1"/>
          <w:bCs w:val="1"/>
          <w:rtl w:val="0"/>
          <w:lang w:val="es-ES_tradnl"/>
        </w:rPr>
        <w:t xml:space="preserve"> un 392% por encima del 2024 pero solo 3,4% superior al 2022 en t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 xml:space="preserve">rminos de volumen. </w:t>
      </w:r>
      <w:r>
        <w:rPr>
          <w:rStyle w:val="Ninguno"/>
          <w:rtl w:val="0"/>
          <w:lang w:val="es-ES_tradnl"/>
        </w:rPr>
        <w:t>Como productos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relevantes se importaron: Bondiola, Pulpa de Paleta y Pulpa de Jam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n. Origenes: Brasil, Chile, Dinamarca y Marruecos. </w:t>
      </w:r>
      <w:r>
        <w:rPr>
          <w:rStyle w:val="Ninguno"/>
          <w:b w:val="1"/>
          <w:bCs w:val="1"/>
          <w:rtl w:val="0"/>
          <w:lang w:val="es-ES_tradnl"/>
        </w:rPr>
        <w:t>De producto terminado se importaron solo 118 toneladas por un valor total de U$D 1</w:t>
      </w:r>
      <w:r>
        <w:rPr>
          <w:rStyle w:val="Ninguno"/>
          <w:b w:val="1"/>
          <w:bCs w:val="1"/>
          <w:rtl w:val="0"/>
          <w:lang w:val="es-ES_tradnl"/>
        </w:rPr>
        <w:t xml:space="preserve"> mill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</w:t>
      </w:r>
      <w:r>
        <w:rPr>
          <w:rStyle w:val="Ninguno"/>
          <w:b w:val="1"/>
          <w:bCs w:val="1"/>
          <w:rtl w:val="0"/>
          <w:lang w:val="es-ES_tradnl"/>
        </w:rPr>
        <w:t>. En el primer trimestre de 2024 no hab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a habido importaciones y los valores de este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 son en t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 xml:space="preserve">rminos de volumen 11% inferiores a los de 2022. </w:t>
      </w:r>
      <w:r>
        <w:rPr>
          <w:rStyle w:val="Ninguno"/>
          <w:rtl w:val="0"/>
          <w:lang w:val="es-ES_tradnl"/>
        </w:rPr>
        <w:t>Los productos terminados importados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relevantes fueron jamones crudos y cocidos, embutidos, lomo curado y pancetas. Origen: Italia, Dinamarca y Estados Unidos.</w:t>
      </w:r>
    </w:p>
    <w:p>
      <w:pPr>
        <w:pStyle w:val="Body A"/>
        <w:spacing w:line="360" w:lineRule="auto"/>
        <w:jc w:val="both"/>
      </w:pPr>
    </w:p>
    <w:p>
      <w:pPr>
        <w:pStyle w:val="Body A"/>
        <w:spacing w:line="360" w:lineRule="auto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“</w:t>
      </w:r>
      <w:r>
        <w:rPr>
          <w:rStyle w:val="Ninguno"/>
          <w:b w:val="1"/>
          <w:bCs w:val="1"/>
          <w:rtl w:val="0"/>
          <w:lang w:val="es-ES_tradnl"/>
        </w:rPr>
        <w:t>El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 arranc</w:t>
      </w:r>
      <w:r>
        <w:rPr>
          <w:rStyle w:val="Ninguno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b w:val="1"/>
          <w:bCs w:val="1"/>
          <w:rtl w:val="0"/>
          <w:lang w:val="es-ES_tradnl"/>
        </w:rPr>
        <w:t>de manera positiva, continuando con la tendencia del segundo semestre del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 2024. Es alentador ver subas de doble d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gito en el consumo de chacinados, lo cual habla de una recomposici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del poder de compra de los ingresos. La suba en el consumo de carne fresca, mas all</w:t>
      </w:r>
      <w:r>
        <w:rPr>
          <w:rStyle w:val="Ninguno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b w:val="1"/>
          <w:bCs w:val="1"/>
          <w:rtl w:val="0"/>
          <w:lang w:val="es-ES_tradnl"/>
        </w:rPr>
        <w:t>de cambios en los h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bitos de consumo, sin duda responde a su conveniencia en precio versus la carne vacuna</w:t>
      </w:r>
      <w:r>
        <w:rPr>
          <w:rStyle w:val="Ninguno"/>
          <w:b w:val="1"/>
          <w:bCs w:val="1"/>
          <w:rtl w:val="0"/>
          <w:lang w:val="es-ES_tradnl"/>
        </w:rPr>
        <w:t>”</w:t>
      </w:r>
      <w:r>
        <w:rPr>
          <w:rStyle w:val="Ninguno"/>
          <w:b w:val="1"/>
          <w:bCs w:val="1"/>
          <w:rtl w:val="0"/>
          <w:lang w:val="es-ES_tradnl"/>
        </w:rPr>
        <w:t>, sostuvo Gustavo L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zzari, Presidente de CAICHA.</w:t>
      </w:r>
    </w:p>
    <w:p>
      <w:pPr>
        <w:pStyle w:val="Body A"/>
        <w:spacing w:line="360" w:lineRule="auto"/>
        <w:jc w:val="both"/>
        <w:rPr>
          <w:rStyle w:val="Ninguno"/>
          <w:sz w:val="24"/>
          <w:szCs w:val="24"/>
          <w:lang w:val="es-ES_tradnl"/>
        </w:rPr>
      </w:pPr>
    </w:p>
    <w:p>
      <w:pPr>
        <w:pStyle w:val="Body A"/>
        <w:spacing w:line="360" w:lineRule="auto"/>
        <w:jc w:val="both"/>
      </w:pPr>
      <w:r>
        <w:rPr>
          <w:rStyle w:val="Ninguno"/>
          <w:sz w:val="24"/>
          <w:szCs w:val="24"/>
          <w:lang w:val="es-ES_tradnl"/>
        </w:rPr>
      </w:r>
    </w:p>
    <w:sectPr>
      <w:headerReference w:type="default" r:id="rId8"/>
      <w:footerReference w:type="default" r:id="rId9"/>
      <w:pgSz w:w="11900" w:h="16840" w:orient="portrait"/>
      <w:pgMar w:top="1417" w:right="720" w:bottom="1417" w:left="720" w:header="1134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spacing w:line="360" w:lineRule="auto"/>
      <w:jc w:val="center"/>
      <w:rPr>
        <w:rStyle w:val="Ninguno"/>
        <w:sz w:val="16"/>
        <w:szCs w:val="16"/>
      </w:rPr>
    </w:pPr>
  </w:p>
  <w:p>
    <w:pPr>
      <w:pStyle w:val="Body A"/>
      <w:spacing w:line="360" w:lineRule="auto"/>
      <w:jc w:val="center"/>
      <w:rPr>
        <w:rStyle w:val="Ninguno"/>
        <w:outline w:val="0"/>
        <w:color w:val="a7a7a7"/>
        <w:sz w:val="16"/>
        <w:szCs w:val="16"/>
        <w:u w:color="a7a7a7"/>
        <w14:textFill>
          <w14:solidFill>
            <w14:srgbClr w14:val="A7A7A7"/>
          </w14:solidFill>
        </w14:textFill>
      </w:rPr>
    </w:pPr>
    <w:r>
      <w:rPr>
        <w:rStyle w:val="Ninguno"/>
        <w:outline w:val="0"/>
        <w:color w:val="a7a7a7"/>
        <w:sz w:val="16"/>
        <w:szCs w:val="16"/>
        <w:u w:color="a7a7a7"/>
        <w:rtl w:val="0"/>
        <w:lang w:val="es-ES_tradnl"/>
        <w14:textFill>
          <w14:solidFill>
            <w14:srgbClr w14:val="A7A7A7"/>
          </w14:solidFill>
        </w14:textFill>
      </w:rPr>
      <w:t>C</w:t>
    </w:r>
    <w:r>
      <w:rPr>
        <w:rStyle w:val="Ninguno"/>
        <w:outline w:val="0"/>
        <w:color w:val="a7a7a7"/>
        <w:sz w:val="16"/>
        <w:szCs w:val="16"/>
        <w:u w:color="a7a7a7"/>
        <w:rtl w:val="0"/>
        <w:lang w:val="es-ES_tradnl"/>
        <w14:textFill>
          <w14:solidFill>
            <w14:srgbClr w14:val="A7A7A7"/>
          </w14:solidFill>
        </w14:textFill>
      </w:rPr>
      <w:t>á</w:t>
    </w:r>
    <w:r>
      <w:rPr>
        <w:rStyle w:val="Ninguno"/>
        <w:outline w:val="0"/>
        <w:color w:val="a7a7a7"/>
        <w:sz w:val="16"/>
        <w:szCs w:val="16"/>
        <w:u w:color="a7a7a7"/>
        <w:rtl w:val="0"/>
        <w:lang w:val="es-ES_tradnl"/>
        <w14:textFill>
          <w14:solidFill>
            <w14:srgbClr w14:val="A7A7A7"/>
          </w14:solidFill>
        </w14:textFill>
      </w:rPr>
      <w:t>mara Argentina de la Industria de Chacinados y Carne de Cerdo</w:t>
    </w:r>
  </w:p>
  <w:p>
    <w:pPr>
      <w:pStyle w:val="Body A"/>
      <w:spacing w:line="360" w:lineRule="auto"/>
      <w:jc w:val="center"/>
    </w:pPr>
    <w:r>
      <w:rPr>
        <w:rStyle w:val="Ninguno"/>
        <w:outline w:val="0"/>
        <w:color w:val="a7a7a7"/>
        <w:sz w:val="16"/>
        <w:szCs w:val="16"/>
        <w:u w:color="a7a7a7"/>
        <w:rtl w:val="0"/>
        <w:lang w:val="es-ES_tradnl"/>
        <w14:textFill>
          <w14:solidFill>
            <w14:srgbClr w14:val="A7A7A7"/>
          </w14:solidFill>
        </w14:textFill>
      </w:rPr>
      <w:t>Bacacay 2576, Ciudad Aut</w:t>
    </w:r>
    <w:r>
      <w:rPr>
        <w:rStyle w:val="Ninguno"/>
        <w:outline w:val="0"/>
        <w:color w:val="a7a7a7"/>
        <w:sz w:val="16"/>
        <w:szCs w:val="16"/>
        <w:u w:color="a7a7a7"/>
        <w:rtl w:val="0"/>
        <w:lang w:val="es-ES_tradnl"/>
        <w14:textFill>
          <w14:solidFill>
            <w14:srgbClr w14:val="A7A7A7"/>
          </w14:solidFill>
        </w14:textFill>
      </w:rPr>
      <w:t>ó</w:t>
    </w:r>
    <w:r>
      <w:rPr>
        <w:rStyle w:val="Ninguno"/>
        <w:outline w:val="0"/>
        <w:color w:val="a7a7a7"/>
        <w:sz w:val="16"/>
        <w:szCs w:val="16"/>
        <w:u w:color="a7a7a7"/>
        <w:rtl w:val="0"/>
        <w:lang w:val="es-ES_tradnl"/>
        <w14:textFill>
          <w14:solidFill>
            <w14:srgbClr w14:val="A7A7A7"/>
          </w14:solidFill>
        </w14:textFill>
      </w:rPr>
      <w:t>noma de Buenos Aires / Argentina. Tel.: (+54 11) 4611- 7117/4611-3254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